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360"/>
        <w:gridCol w:w="5040"/>
      </w:tblGrid>
      <w:tr w:rsidR="005273C5">
        <w:trPr>
          <w:cantSplit/>
          <w:trHeight w:val="1134"/>
        </w:trPr>
        <w:tc>
          <w:tcPr>
            <w:tcW w:w="360" w:type="dxa"/>
            <w:textDirection w:val="btLr"/>
          </w:tcPr>
          <w:p w:rsidR="005273C5" w:rsidRPr="006C4F30" w:rsidRDefault="005273C5" w:rsidP="006C4F30">
            <w:pPr>
              <w:pStyle w:val="Subtitles"/>
            </w:pPr>
            <w:r w:rsidRPr="006C4F30">
              <w:t>First Tradition</w:t>
            </w:r>
          </w:p>
        </w:tc>
        <w:tc>
          <w:tcPr>
            <w:tcW w:w="5040" w:type="dxa"/>
          </w:tcPr>
          <w:p w:rsidR="005273C5" w:rsidRDefault="007A60B9" w:rsidP="00F673C7">
            <w:pPr>
              <w:pStyle w:val="Quote"/>
              <w:spacing w:before="0" w:after="60"/>
            </w:pPr>
            <w:r w:rsidRPr="007A60B9">
              <w:t>Our common welfare should come first;</w:t>
            </w:r>
            <w:r w:rsidR="001564AA">
              <w:br/>
            </w:r>
            <w:r w:rsidRPr="007A60B9">
              <w:t xml:space="preserve"> personal recovery depends on NA unity.</w:t>
            </w:r>
          </w:p>
          <w:p w:rsidR="005273C5" w:rsidRPr="0058314E" w:rsidRDefault="00DD747D" w:rsidP="001564AA">
            <w:pPr>
              <w:pStyle w:val="Excerpt"/>
              <w:rPr>
                <w:spacing w:val="-8"/>
              </w:rPr>
            </w:pPr>
            <w:r w:rsidRPr="0058314E">
              <w:rPr>
                <w:spacing w:val="-8"/>
              </w:rPr>
              <w:t>Our First Tradition concerns unity and our common wel</w:t>
            </w:r>
            <w:r w:rsidR="00B612FF" w:rsidRPr="0058314E">
              <w:rPr>
                <w:spacing w:val="-8"/>
              </w:rPr>
              <w:t xml:space="preserve">fare. </w:t>
            </w:r>
            <w:r w:rsidRPr="0058314E">
              <w:rPr>
                <w:spacing w:val="-8"/>
              </w:rPr>
              <w:t>One of the most important things about our new way of life is b</w:t>
            </w:r>
            <w:r w:rsidRPr="0058314E">
              <w:rPr>
                <w:spacing w:val="-8"/>
              </w:rPr>
              <w:t>e</w:t>
            </w:r>
            <w:r w:rsidRPr="0058314E">
              <w:rPr>
                <w:spacing w:val="-8"/>
              </w:rPr>
              <w:t>ing a part of a group of addicts seeking recovery. Our survival is directly related to the survival of the group and the Fellowship. To maintain unity within NA, it is imperative that the group remain stable, or the entire Fellowship perishes and the individual dies.</w:t>
            </w:r>
          </w:p>
        </w:tc>
      </w:tr>
      <w:tr w:rsidR="005273C5">
        <w:trPr>
          <w:cantSplit/>
          <w:trHeight w:val="1134"/>
        </w:trPr>
        <w:tc>
          <w:tcPr>
            <w:tcW w:w="360" w:type="dxa"/>
            <w:textDirection w:val="btLr"/>
          </w:tcPr>
          <w:p w:rsidR="005273C5" w:rsidRPr="006C4F30" w:rsidRDefault="005273C5" w:rsidP="006C4F30">
            <w:pPr>
              <w:pStyle w:val="Subtitles"/>
            </w:pPr>
            <w:r w:rsidRPr="006C4F30">
              <w:t>Second Tradition</w:t>
            </w:r>
          </w:p>
        </w:tc>
        <w:tc>
          <w:tcPr>
            <w:tcW w:w="5040" w:type="dxa"/>
          </w:tcPr>
          <w:p w:rsidR="005273C5" w:rsidRDefault="007A60B9" w:rsidP="00F673C7">
            <w:pPr>
              <w:pStyle w:val="Quote"/>
              <w:spacing w:before="60" w:after="60"/>
            </w:pPr>
            <w:r w:rsidRPr="007A60B9">
              <w:t xml:space="preserve">For our group purpose there is but one ultimate </w:t>
            </w:r>
            <w:r w:rsidR="001564AA">
              <w:br/>
            </w:r>
            <w:r w:rsidRPr="007A60B9">
              <w:t xml:space="preserve">authority—a loving God as He may express Himself in our group conscience. Our leaders are but </w:t>
            </w:r>
            <w:r w:rsidR="001564AA">
              <w:br/>
            </w:r>
            <w:r w:rsidRPr="007A60B9">
              <w:t>trusted servants; they do not govern.</w:t>
            </w:r>
          </w:p>
          <w:p w:rsidR="00B612FF" w:rsidRPr="001564AA" w:rsidRDefault="006958D0" w:rsidP="006958D0">
            <w:pPr>
              <w:pStyle w:val="Excerpt"/>
            </w:pPr>
            <w:r w:rsidRPr="006958D0">
              <w:t>Our direction in service comes from a God of our understan</w:t>
            </w:r>
            <w:r w:rsidRPr="006958D0">
              <w:t>d</w:t>
            </w:r>
            <w:r w:rsidRPr="006958D0">
              <w:t xml:space="preserve">ing, whether we serve as individuals, as a group, or as a service board or committee. Whenever we come together, we seek the presence and guidance of this loving Higher Power. This direction then guides us through all our actions. </w:t>
            </w:r>
            <w:r>
              <w:t>[…]</w:t>
            </w:r>
            <w:r w:rsidRPr="006958D0">
              <w:t xml:space="preserve"> When we choose a member to serve us in some capacity, we exercise mutual trust.</w:t>
            </w:r>
          </w:p>
        </w:tc>
      </w:tr>
      <w:tr w:rsidR="005273C5">
        <w:trPr>
          <w:cantSplit/>
          <w:trHeight w:val="1134"/>
        </w:trPr>
        <w:tc>
          <w:tcPr>
            <w:tcW w:w="360" w:type="dxa"/>
            <w:textDirection w:val="btLr"/>
          </w:tcPr>
          <w:p w:rsidR="005273C5" w:rsidRPr="006C4F30" w:rsidRDefault="005273C5" w:rsidP="006C4F30">
            <w:pPr>
              <w:pStyle w:val="Subtitles"/>
            </w:pPr>
            <w:r w:rsidRPr="006C4F30">
              <w:t>Third Tradition</w:t>
            </w:r>
          </w:p>
        </w:tc>
        <w:tc>
          <w:tcPr>
            <w:tcW w:w="5040" w:type="dxa"/>
          </w:tcPr>
          <w:p w:rsidR="005273C5" w:rsidRDefault="007A60B9" w:rsidP="00F673C7">
            <w:pPr>
              <w:pStyle w:val="Quote"/>
              <w:spacing w:before="60" w:after="60"/>
            </w:pPr>
            <w:r w:rsidRPr="007A60B9">
              <w:t>The only requirement for membership</w:t>
            </w:r>
            <w:r w:rsidR="001564AA">
              <w:br/>
            </w:r>
            <w:r w:rsidRPr="007A60B9">
              <w:t xml:space="preserve"> is</w:t>
            </w:r>
            <w:r w:rsidR="001564AA">
              <w:t xml:space="preserve"> </w:t>
            </w:r>
            <w:r w:rsidRPr="007A60B9">
              <w:t>a desire to stop using.</w:t>
            </w:r>
          </w:p>
          <w:p w:rsidR="00AF1E65" w:rsidRDefault="00C24AA8" w:rsidP="001564AA">
            <w:pPr>
              <w:pStyle w:val="Excerpt"/>
            </w:pPr>
            <w:r w:rsidRPr="00C24AA8">
              <w:t>The Third Tradition encourages freedom from judgment. It leads us on the path of service toward an attitude of helpfulness, acceptance, and unconditional love. […] Addiction is a deadly disease. We know that addicts who don’t find recovery can e</w:t>
            </w:r>
            <w:r w:rsidRPr="00C24AA8">
              <w:t>x</w:t>
            </w:r>
            <w:r w:rsidRPr="00C24AA8">
              <w:t xml:space="preserve">pect nothing better than jails, institutions, and death. Refusing admission to any addict, even one who comes merely out of </w:t>
            </w:r>
            <w:r w:rsidR="00E42EEE" w:rsidRPr="00C24AA8">
              <w:t>cur</w:t>
            </w:r>
            <w:r w:rsidR="00E42EEE" w:rsidRPr="00C24AA8">
              <w:t>i</w:t>
            </w:r>
            <w:r w:rsidR="00E42EEE" w:rsidRPr="00C24AA8">
              <w:t>osity</w:t>
            </w:r>
            <w:r w:rsidRPr="00C24AA8">
              <w:t xml:space="preserve"> may be a death sentence for that addict.</w:t>
            </w:r>
          </w:p>
        </w:tc>
      </w:tr>
      <w:tr w:rsidR="005273C5">
        <w:trPr>
          <w:cantSplit/>
          <w:trHeight w:val="1134"/>
        </w:trPr>
        <w:tc>
          <w:tcPr>
            <w:tcW w:w="360" w:type="dxa"/>
            <w:textDirection w:val="btLr"/>
          </w:tcPr>
          <w:p w:rsidR="005273C5" w:rsidRPr="006C4F30" w:rsidRDefault="005273C5" w:rsidP="006C4F30">
            <w:pPr>
              <w:pStyle w:val="Subtitles"/>
            </w:pPr>
            <w:r w:rsidRPr="006C4F30">
              <w:t>Fourth Tradition</w:t>
            </w:r>
          </w:p>
        </w:tc>
        <w:tc>
          <w:tcPr>
            <w:tcW w:w="5040" w:type="dxa"/>
          </w:tcPr>
          <w:p w:rsidR="005273C5" w:rsidRDefault="007A60B9" w:rsidP="00F673C7">
            <w:pPr>
              <w:pStyle w:val="Quote"/>
              <w:spacing w:before="0" w:after="60"/>
            </w:pPr>
            <w:r w:rsidRPr="007A60B9">
              <w:t xml:space="preserve">Each group should be autonomous except </w:t>
            </w:r>
            <w:r w:rsidR="00260C15">
              <w:br/>
            </w:r>
            <w:r w:rsidRPr="007A60B9">
              <w:t xml:space="preserve">in matters affecting other groups or </w:t>
            </w:r>
            <w:r w:rsidR="00260C15">
              <w:br/>
            </w:r>
            <w:r w:rsidRPr="007A60B9">
              <w:t>NA as a whole.</w:t>
            </w:r>
          </w:p>
          <w:p w:rsidR="00AF1E65" w:rsidRPr="001564AA" w:rsidRDefault="00394A88" w:rsidP="001564AA">
            <w:pPr>
              <w:pStyle w:val="Excerpt"/>
            </w:pPr>
            <w:r w:rsidRPr="00394A88">
              <w:t>Each group does have complete freedom, except when their actions affect other groups or NA as a whole. If we check to make sure that our actions are clearly within the bounds of our trad</w:t>
            </w:r>
            <w:r w:rsidRPr="00394A88">
              <w:t>i</w:t>
            </w:r>
            <w:r w:rsidRPr="00394A88">
              <w:t>tions; if we do not dictate to other groups, or force anything upon them; and if we consider the consequences of our action ahead of time, then all will be well.</w:t>
            </w:r>
          </w:p>
        </w:tc>
      </w:tr>
      <w:tr w:rsidR="005273C5">
        <w:trPr>
          <w:cantSplit/>
          <w:trHeight w:val="1134"/>
        </w:trPr>
        <w:tc>
          <w:tcPr>
            <w:tcW w:w="360" w:type="dxa"/>
            <w:textDirection w:val="btLr"/>
          </w:tcPr>
          <w:p w:rsidR="005273C5" w:rsidRPr="006C4F30" w:rsidRDefault="005273C5" w:rsidP="006C4F30">
            <w:pPr>
              <w:pStyle w:val="Subtitles"/>
            </w:pPr>
            <w:r w:rsidRPr="006C4F30">
              <w:t>Fifth Tradition</w:t>
            </w:r>
          </w:p>
        </w:tc>
        <w:tc>
          <w:tcPr>
            <w:tcW w:w="5040" w:type="dxa"/>
          </w:tcPr>
          <w:p w:rsidR="005273C5" w:rsidRDefault="007A60B9" w:rsidP="00F673C7">
            <w:pPr>
              <w:pStyle w:val="Quote"/>
              <w:spacing w:before="60" w:after="60"/>
            </w:pPr>
            <w:r w:rsidRPr="007A60B9">
              <w:t>Each group has but one primary purpose—</w:t>
            </w:r>
            <w:r w:rsidR="001564AA">
              <w:br/>
            </w:r>
            <w:r w:rsidRPr="007A60B9">
              <w:t>to carry the message to the addict who still suffers.</w:t>
            </w:r>
          </w:p>
          <w:p w:rsidR="00AF1E65" w:rsidRDefault="00AF1E65" w:rsidP="001564AA">
            <w:pPr>
              <w:pStyle w:val="Excerpt"/>
            </w:pPr>
            <w:r>
              <w:t>What is our message? The message is that an addict, any a</w:t>
            </w:r>
            <w:r>
              <w:t>d</w:t>
            </w:r>
            <w:r>
              <w:t>dict, can stop using drugs, lose the desire to use, and find a new way to live. Our message is hope and the promise of freedom. When all is said and done, our primary purpose can only be to carry the message to the addict who still suffers because that is all we have to give.</w:t>
            </w:r>
          </w:p>
        </w:tc>
      </w:tr>
      <w:tr w:rsidR="005273C5">
        <w:trPr>
          <w:cantSplit/>
          <w:trHeight w:val="1134"/>
        </w:trPr>
        <w:tc>
          <w:tcPr>
            <w:tcW w:w="360" w:type="dxa"/>
            <w:textDirection w:val="btLr"/>
          </w:tcPr>
          <w:p w:rsidR="005273C5" w:rsidRPr="006C4F30" w:rsidRDefault="005273C5" w:rsidP="006C4F30">
            <w:pPr>
              <w:pStyle w:val="Subtitles"/>
            </w:pPr>
            <w:r w:rsidRPr="006C4F30">
              <w:t>Sixth Tradition</w:t>
            </w:r>
          </w:p>
        </w:tc>
        <w:tc>
          <w:tcPr>
            <w:tcW w:w="5040" w:type="dxa"/>
          </w:tcPr>
          <w:p w:rsidR="005273C5" w:rsidRDefault="007A60B9" w:rsidP="00F673C7">
            <w:pPr>
              <w:pStyle w:val="Quote"/>
              <w:spacing w:before="0" w:after="60"/>
            </w:pPr>
            <w:r w:rsidRPr="007A60B9">
              <w:t xml:space="preserve">An NA group ought never endorse, finance, </w:t>
            </w:r>
            <w:r w:rsidR="00260C15">
              <w:br/>
            </w:r>
            <w:r w:rsidRPr="007A60B9">
              <w:t xml:space="preserve">or lend the NA name to any related facility </w:t>
            </w:r>
            <w:r w:rsidR="00260C15">
              <w:br/>
            </w:r>
            <w:r w:rsidRPr="007A60B9">
              <w:t xml:space="preserve">or outside enterprise, lest problems of money, </w:t>
            </w:r>
            <w:r w:rsidR="002C13E6">
              <w:br/>
            </w:r>
            <w:r w:rsidRPr="007A60B9">
              <w:t>prope</w:t>
            </w:r>
            <w:r w:rsidRPr="007A60B9">
              <w:t>r</w:t>
            </w:r>
            <w:r w:rsidRPr="007A60B9">
              <w:t xml:space="preserve">ty, or prestige divert us from </w:t>
            </w:r>
            <w:r w:rsidR="00260C15">
              <w:br/>
            </w:r>
            <w:r w:rsidRPr="007A60B9">
              <w:t>our primary purpose.</w:t>
            </w:r>
          </w:p>
          <w:p w:rsidR="0020661A" w:rsidRDefault="00C71FFE" w:rsidP="001564AA">
            <w:pPr>
              <w:pStyle w:val="Excerpt"/>
            </w:pPr>
            <w:r w:rsidRPr="00C71FFE">
              <w:t>Within the limits established by Tradition Six, we have tr</w:t>
            </w:r>
            <w:r w:rsidRPr="00C71FFE">
              <w:t>e</w:t>
            </w:r>
            <w:r w:rsidRPr="00C71FFE">
              <w:t>mendous freedom to carry the message of recovery and help other addicts. We have clear boundaries set by our identity as Narco</w:t>
            </w:r>
            <w:r w:rsidRPr="00C71FFE">
              <w:t>t</w:t>
            </w:r>
            <w:r w:rsidRPr="00C71FFE">
              <w:t>ics Anonymous. When we take care to observe those boundaries, our outside relationships enhance our ability to carry the message to the addict who still suffers rather than diverting us from our primary purpose.</w:t>
            </w:r>
          </w:p>
        </w:tc>
      </w:tr>
      <w:tr w:rsidR="005273C5">
        <w:trPr>
          <w:cantSplit/>
          <w:trHeight w:val="1134"/>
        </w:trPr>
        <w:tc>
          <w:tcPr>
            <w:tcW w:w="360" w:type="dxa"/>
            <w:textDirection w:val="btLr"/>
          </w:tcPr>
          <w:p w:rsidR="005273C5" w:rsidRPr="006C4F30" w:rsidRDefault="005273C5" w:rsidP="006C4F30">
            <w:pPr>
              <w:pStyle w:val="Subtitles"/>
            </w:pPr>
            <w:r w:rsidRPr="006C4F30">
              <w:lastRenderedPageBreak/>
              <w:t>Seventh Tradition</w:t>
            </w:r>
          </w:p>
        </w:tc>
        <w:tc>
          <w:tcPr>
            <w:tcW w:w="5040" w:type="dxa"/>
          </w:tcPr>
          <w:p w:rsidR="005273C5" w:rsidRDefault="003F4CFD" w:rsidP="00F673C7">
            <w:pPr>
              <w:pStyle w:val="Quote"/>
              <w:spacing w:before="0" w:after="60"/>
            </w:pPr>
            <w:r w:rsidRPr="003F4CFD">
              <w:t xml:space="preserve">Every NA group ought to be fully self-supporting, </w:t>
            </w:r>
            <w:r w:rsidR="001564AA">
              <w:br/>
            </w:r>
            <w:r w:rsidRPr="003F4CFD">
              <w:t>declining outside contributions.</w:t>
            </w:r>
          </w:p>
          <w:p w:rsidR="0020661A" w:rsidRPr="0058314E" w:rsidRDefault="00C71FFE" w:rsidP="001564AA">
            <w:pPr>
              <w:pStyle w:val="Excerpt"/>
              <w:rPr>
                <w:spacing w:val="6"/>
              </w:rPr>
            </w:pPr>
            <w:r w:rsidRPr="0058314E">
              <w:rPr>
                <w:spacing w:val="6"/>
              </w:rPr>
              <w:t>By encouraging our group to pay its own way, the Seventh Tradition gives our group the freedom to share its recovery as it sees fit, not obligated to outside co</w:t>
            </w:r>
            <w:r w:rsidRPr="0058314E">
              <w:rPr>
                <w:spacing w:val="6"/>
              </w:rPr>
              <w:t>n</w:t>
            </w:r>
            <w:r w:rsidRPr="0058314E">
              <w:rPr>
                <w:spacing w:val="6"/>
              </w:rPr>
              <w:t>tributors. Further, it gives our group the freedom that comes from inner strength, the strength that develops through applying spiritual principles.</w:t>
            </w:r>
          </w:p>
        </w:tc>
      </w:tr>
      <w:tr w:rsidR="005273C5">
        <w:trPr>
          <w:cantSplit/>
          <w:trHeight w:val="1134"/>
        </w:trPr>
        <w:tc>
          <w:tcPr>
            <w:tcW w:w="360" w:type="dxa"/>
            <w:textDirection w:val="btLr"/>
          </w:tcPr>
          <w:p w:rsidR="005273C5" w:rsidRPr="006C4F30" w:rsidRDefault="005273C5" w:rsidP="006C4F30">
            <w:pPr>
              <w:pStyle w:val="Subtitles"/>
            </w:pPr>
            <w:r w:rsidRPr="006C4F30">
              <w:t>Eighth Tradition</w:t>
            </w:r>
          </w:p>
        </w:tc>
        <w:tc>
          <w:tcPr>
            <w:tcW w:w="5040" w:type="dxa"/>
          </w:tcPr>
          <w:p w:rsidR="005273C5" w:rsidRDefault="003F4CFD" w:rsidP="00F673C7">
            <w:pPr>
              <w:pStyle w:val="Quote"/>
              <w:spacing w:before="20" w:after="60"/>
            </w:pPr>
            <w:r w:rsidRPr="003F4CFD">
              <w:t xml:space="preserve">Narcotics Anonymous should remain forever </w:t>
            </w:r>
            <w:r w:rsidR="00260C15">
              <w:br/>
            </w:r>
            <w:r w:rsidRPr="003F4CFD">
              <w:t xml:space="preserve">nonprofessional, but our service centers </w:t>
            </w:r>
            <w:r w:rsidR="00260C15">
              <w:br/>
            </w:r>
            <w:r w:rsidRPr="003F4CFD">
              <w:t>may employ special workers.</w:t>
            </w:r>
          </w:p>
          <w:p w:rsidR="0020661A" w:rsidRDefault="00246458" w:rsidP="00DC059A">
            <w:pPr>
              <w:pStyle w:val="Excerpt"/>
            </w:pPr>
            <w:r>
              <w:t>I</w:t>
            </w:r>
            <w:r w:rsidRPr="00326A78">
              <w:rPr>
                <w:spacing w:val="-2"/>
              </w:rPr>
              <w:t>n this tradition we say that we have no professionals. By this, we mean we have no staff psychiatris</w:t>
            </w:r>
            <w:r w:rsidR="00DC059A">
              <w:rPr>
                <w:spacing w:val="-2"/>
              </w:rPr>
              <w:t>ts</w:t>
            </w:r>
            <w:r w:rsidRPr="00326A78">
              <w:rPr>
                <w:spacing w:val="-2"/>
              </w:rPr>
              <w:t>, doctors, lawyers, or counselors. Our program works by one addict helping a</w:t>
            </w:r>
            <w:r w:rsidRPr="00326A78">
              <w:rPr>
                <w:spacing w:val="-2"/>
              </w:rPr>
              <w:t>n</w:t>
            </w:r>
            <w:r w:rsidRPr="00326A78">
              <w:rPr>
                <w:spacing w:val="-2"/>
              </w:rPr>
              <w:t>other. If we employ professionals in NA groups, we would destroy our unity. We are simply addicts of equal status freely helping one another.</w:t>
            </w:r>
          </w:p>
        </w:tc>
      </w:tr>
      <w:tr w:rsidR="005273C5">
        <w:trPr>
          <w:cantSplit/>
          <w:trHeight w:val="1134"/>
        </w:trPr>
        <w:tc>
          <w:tcPr>
            <w:tcW w:w="360" w:type="dxa"/>
            <w:textDirection w:val="btLr"/>
          </w:tcPr>
          <w:p w:rsidR="005273C5" w:rsidRPr="006C4F30" w:rsidRDefault="005273C5" w:rsidP="006C4F30">
            <w:pPr>
              <w:pStyle w:val="Subtitles"/>
            </w:pPr>
            <w:r w:rsidRPr="006C4F30">
              <w:t>Ninth Tradition</w:t>
            </w:r>
          </w:p>
        </w:tc>
        <w:tc>
          <w:tcPr>
            <w:tcW w:w="5040" w:type="dxa"/>
          </w:tcPr>
          <w:p w:rsidR="005273C5" w:rsidRDefault="003F4CFD" w:rsidP="00F673C7">
            <w:pPr>
              <w:pStyle w:val="Quote"/>
              <w:spacing w:before="20" w:after="60"/>
            </w:pPr>
            <w:r w:rsidRPr="003F4CFD">
              <w:t xml:space="preserve">NA, as such, ought </w:t>
            </w:r>
            <w:proofErr w:type="gramStart"/>
            <w:r w:rsidRPr="003F4CFD">
              <w:t>never</w:t>
            </w:r>
            <w:proofErr w:type="gramEnd"/>
            <w:r w:rsidRPr="003F4CFD">
              <w:t xml:space="preserve"> be organized, but we </w:t>
            </w:r>
            <w:r w:rsidR="00260C15">
              <w:br/>
            </w:r>
            <w:r w:rsidRPr="003F4CFD">
              <w:t>may create service boards or committees directly</w:t>
            </w:r>
            <w:r w:rsidR="001564AA">
              <w:br/>
            </w:r>
            <w:r w:rsidRPr="003F4CFD">
              <w:t xml:space="preserve"> responsible to those they serve.</w:t>
            </w:r>
          </w:p>
          <w:p w:rsidR="0020661A" w:rsidRDefault="00A94533" w:rsidP="001564AA">
            <w:pPr>
              <w:pStyle w:val="Excerpt"/>
            </w:pPr>
            <w:r>
              <w:t>NA groups join together, combining their resources to create service boards and committees that will help them better fulfill their primary purpose. Those boards and committees are not called to govern NA; they are called, rather, to faithfully execute the trust given them by the groups they serve.</w:t>
            </w:r>
          </w:p>
        </w:tc>
      </w:tr>
      <w:tr w:rsidR="005273C5">
        <w:trPr>
          <w:cantSplit/>
          <w:trHeight w:val="1134"/>
        </w:trPr>
        <w:tc>
          <w:tcPr>
            <w:tcW w:w="360" w:type="dxa"/>
            <w:textDirection w:val="btLr"/>
          </w:tcPr>
          <w:p w:rsidR="005273C5" w:rsidRPr="006C4F30" w:rsidRDefault="005273C5" w:rsidP="006C4F30">
            <w:pPr>
              <w:pStyle w:val="Subtitles"/>
            </w:pPr>
            <w:r w:rsidRPr="006C4F30">
              <w:t>Tenth Tradition</w:t>
            </w:r>
          </w:p>
        </w:tc>
        <w:tc>
          <w:tcPr>
            <w:tcW w:w="5040" w:type="dxa"/>
          </w:tcPr>
          <w:p w:rsidR="005273C5" w:rsidRDefault="003F4CFD" w:rsidP="00F673C7">
            <w:pPr>
              <w:pStyle w:val="Quote"/>
              <w:spacing w:before="20" w:after="60"/>
            </w:pPr>
            <w:r w:rsidRPr="003F4CFD">
              <w:t xml:space="preserve">Narcotics Anonymous has no opinion </w:t>
            </w:r>
            <w:r w:rsidR="001564AA">
              <w:br/>
            </w:r>
            <w:r w:rsidRPr="003F4CFD">
              <w:t xml:space="preserve">on outside issues; hence the NA name ought </w:t>
            </w:r>
            <w:proofErr w:type="gramStart"/>
            <w:r w:rsidRPr="003F4CFD">
              <w:t>never</w:t>
            </w:r>
            <w:proofErr w:type="gramEnd"/>
            <w:r w:rsidR="001564AA">
              <w:br/>
            </w:r>
            <w:r w:rsidRPr="003F4CFD">
              <w:t xml:space="preserve"> be drawn into public controversy.</w:t>
            </w:r>
          </w:p>
          <w:p w:rsidR="0020661A" w:rsidRPr="00E42EEE" w:rsidRDefault="00505F38" w:rsidP="001564AA">
            <w:pPr>
              <w:pStyle w:val="Excerpt"/>
              <w:rPr>
                <w:spacing w:val="-2"/>
              </w:rPr>
            </w:pPr>
            <w:r w:rsidRPr="00E42EEE">
              <w:rPr>
                <w:spacing w:val="-2"/>
              </w:rPr>
              <w:t>There are a great number of addiction-related issues that others might expect a worldwide society of recovering drug addicts to take positions on. […] Our answer, according to Tradition Ten, is that our groups and our fellowship take no position, pro or con, on any issues except the NA program itself. […] For our own survival, we have no opinion on ou</w:t>
            </w:r>
            <w:r w:rsidRPr="00E42EEE">
              <w:rPr>
                <w:spacing w:val="-2"/>
              </w:rPr>
              <w:t>t</w:t>
            </w:r>
            <w:r w:rsidRPr="00E42EEE">
              <w:rPr>
                <w:spacing w:val="-2"/>
              </w:rPr>
              <w:t>side issues.</w:t>
            </w:r>
          </w:p>
        </w:tc>
      </w:tr>
      <w:tr w:rsidR="005273C5">
        <w:trPr>
          <w:cantSplit/>
          <w:trHeight w:val="1134"/>
        </w:trPr>
        <w:tc>
          <w:tcPr>
            <w:tcW w:w="360" w:type="dxa"/>
            <w:textDirection w:val="btLr"/>
          </w:tcPr>
          <w:p w:rsidR="005273C5" w:rsidRPr="006C4F30" w:rsidRDefault="005273C5" w:rsidP="006C4F30">
            <w:pPr>
              <w:pStyle w:val="Subtitles"/>
            </w:pPr>
            <w:r w:rsidRPr="006C4F30">
              <w:t>Eleventh Tradition</w:t>
            </w:r>
          </w:p>
        </w:tc>
        <w:tc>
          <w:tcPr>
            <w:tcW w:w="5040" w:type="dxa"/>
          </w:tcPr>
          <w:p w:rsidR="005273C5" w:rsidRDefault="003F4CFD" w:rsidP="00F673C7">
            <w:pPr>
              <w:pStyle w:val="Quote"/>
              <w:spacing w:before="20" w:after="60"/>
            </w:pPr>
            <w:r w:rsidRPr="003F4CFD">
              <w:t xml:space="preserve">Our public relations policy is based on attraction </w:t>
            </w:r>
            <w:r w:rsidR="006C4F30">
              <w:br/>
            </w:r>
            <w:r w:rsidRPr="003F4CFD">
              <w:t xml:space="preserve">rather than promotion; we need always </w:t>
            </w:r>
            <w:r w:rsidR="00260C15">
              <w:br/>
            </w:r>
            <w:r w:rsidRPr="003F4CFD">
              <w:t xml:space="preserve">maintain personal anonymity at the level </w:t>
            </w:r>
            <w:r w:rsidR="00260C15">
              <w:br/>
            </w:r>
            <w:r w:rsidRPr="003F4CFD">
              <w:t>of press, radio, and films.</w:t>
            </w:r>
          </w:p>
          <w:p w:rsidR="0020661A" w:rsidRPr="00326A78" w:rsidRDefault="00964B72" w:rsidP="001564AA">
            <w:pPr>
              <w:pStyle w:val="Excerpt"/>
              <w:rPr>
                <w:spacing w:val="0"/>
              </w:rPr>
            </w:pPr>
            <w:r w:rsidRPr="00326A78">
              <w:rPr>
                <w:spacing w:val="0"/>
              </w:rPr>
              <w:t>The existence of a public relations “policy” implies the importance of a public relations “program” in carrying out our fellowship’s primary purpose. […]As NA groups, service boards, and committees, we deliberately and energetically cultivate good public relations, not as an incidental result of our normal activity but as a way to better carry our message to addicts. […] Public anonymity helps keep the focus of our public relations on the NA message, not the PI workers involved.</w:t>
            </w:r>
          </w:p>
        </w:tc>
      </w:tr>
      <w:tr w:rsidR="005273C5">
        <w:trPr>
          <w:cantSplit/>
          <w:trHeight w:val="1134"/>
        </w:trPr>
        <w:tc>
          <w:tcPr>
            <w:tcW w:w="360" w:type="dxa"/>
            <w:textDirection w:val="btLr"/>
          </w:tcPr>
          <w:p w:rsidR="005273C5" w:rsidRPr="006C4F30" w:rsidRDefault="005273C5" w:rsidP="006C4F30">
            <w:pPr>
              <w:pStyle w:val="Subtitles"/>
            </w:pPr>
            <w:r w:rsidRPr="006C4F30">
              <w:t>Twelfth Tradition</w:t>
            </w:r>
          </w:p>
        </w:tc>
        <w:tc>
          <w:tcPr>
            <w:tcW w:w="5040" w:type="dxa"/>
          </w:tcPr>
          <w:p w:rsidR="005273C5" w:rsidRDefault="0018350C" w:rsidP="00F673C7">
            <w:pPr>
              <w:pStyle w:val="Quote"/>
              <w:spacing w:before="80" w:after="100"/>
            </w:pPr>
            <w:r w:rsidRPr="0018350C">
              <w:t xml:space="preserve">Anonymity is the spiritual foundation </w:t>
            </w:r>
            <w:r w:rsidR="001564AA">
              <w:br/>
            </w:r>
            <w:r w:rsidRPr="0018350C">
              <w:t xml:space="preserve">of all our traditions, ever reminding us to place </w:t>
            </w:r>
            <w:r w:rsidR="001564AA">
              <w:br/>
            </w:r>
            <w:r w:rsidRPr="0018350C">
              <w:t>principles before personalities.</w:t>
            </w:r>
          </w:p>
          <w:p w:rsidR="0020661A" w:rsidRPr="00E42EEE" w:rsidRDefault="003F70C6" w:rsidP="001564AA">
            <w:pPr>
              <w:pStyle w:val="Excerpt"/>
              <w:rPr>
                <w:spacing w:val="-2"/>
              </w:rPr>
            </w:pPr>
            <w:r w:rsidRPr="00E42EEE">
              <w:rPr>
                <w:spacing w:val="-2"/>
              </w:rPr>
              <w:t>Anonymity is one of the basic elements of our recovery and it pervades our Traditions and our Fellowship. It protects us from our own defects of character and renders personalities and their differences powerless. Anonymity in action makes it impossible for personalities to come before principles.</w:t>
            </w:r>
          </w:p>
        </w:tc>
      </w:tr>
    </w:tbl>
    <w:p w:rsidR="002C13E6" w:rsidRDefault="002C13E6" w:rsidP="006C4F30"/>
    <w:p w:rsidR="002C13E6" w:rsidRDefault="002C13E6" w:rsidP="006C4F30">
      <w:pPr>
        <w:sectPr w:rsidR="002C13E6" w:rsidSect="002C13E6">
          <w:headerReference w:type="even" r:id="rId9"/>
          <w:headerReference w:type="default" r:id="rId10"/>
          <w:footerReference w:type="default" r:id="rId11"/>
          <w:type w:val="continuous"/>
          <w:pgSz w:w="12240" w:h="15840" w:code="1"/>
          <w:pgMar w:top="720" w:right="720" w:bottom="720" w:left="720" w:header="288" w:footer="288" w:gutter="0"/>
          <w:cols w:num="2" w:space="360"/>
          <w:docGrid w:linePitch="360"/>
        </w:sectPr>
      </w:pPr>
    </w:p>
    <w:p w:rsidR="006C4F30" w:rsidRPr="002C13E6" w:rsidRDefault="006C4F30" w:rsidP="002C13E6">
      <w:pPr>
        <w:spacing w:after="120"/>
        <w:jc w:val="center"/>
        <w:rPr>
          <w:rFonts w:asciiTheme="minorHAnsi" w:hAnsiTheme="minorHAnsi" w:cstheme="minorHAnsi"/>
          <w:b/>
          <w:sz w:val="32"/>
        </w:rPr>
      </w:pPr>
      <w:r w:rsidRPr="002C13E6">
        <w:rPr>
          <w:rFonts w:asciiTheme="minorHAnsi" w:hAnsiTheme="minorHAnsi" w:cstheme="minorHAnsi"/>
          <w:b/>
          <w:sz w:val="32"/>
        </w:rPr>
        <w:lastRenderedPageBreak/>
        <w:t>What is an NA group?</w:t>
      </w:r>
    </w:p>
    <w:p w:rsidR="006C4F30" w:rsidRPr="002C13E6" w:rsidRDefault="006C4F30" w:rsidP="0083350A">
      <w:pPr>
        <w:spacing w:after="120"/>
        <w:jc w:val="both"/>
        <w:rPr>
          <w:rFonts w:asciiTheme="minorHAnsi" w:hAnsiTheme="minorHAnsi" w:cstheme="minorHAnsi"/>
        </w:rPr>
      </w:pPr>
      <w:r w:rsidRPr="002C13E6">
        <w:rPr>
          <w:rFonts w:asciiTheme="minorHAnsi" w:hAnsiTheme="minorHAnsi" w:cstheme="minorHAnsi"/>
        </w:rPr>
        <w:t>When two or more addicts come together t</w:t>
      </w:r>
      <w:r w:rsidR="002C13E6" w:rsidRPr="002C13E6">
        <w:rPr>
          <w:rFonts w:asciiTheme="minorHAnsi" w:hAnsiTheme="minorHAnsi" w:cstheme="minorHAnsi"/>
        </w:rPr>
        <w:t xml:space="preserve">o help </w:t>
      </w:r>
      <w:r w:rsidRPr="002C13E6">
        <w:rPr>
          <w:rFonts w:asciiTheme="minorHAnsi" w:hAnsiTheme="minorHAnsi" w:cstheme="minorHAnsi"/>
        </w:rPr>
        <w:t>each other stay clean, they may form a</w:t>
      </w:r>
      <w:r w:rsidR="0083350A">
        <w:rPr>
          <w:rFonts w:asciiTheme="minorHAnsi" w:hAnsiTheme="minorHAnsi" w:cstheme="minorHAnsi"/>
        </w:rPr>
        <w:t xml:space="preserve"> </w:t>
      </w:r>
      <w:r w:rsidR="0083350A">
        <w:rPr>
          <w:rFonts w:asciiTheme="minorHAnsi" w:hAnsiTheme="minorHAnsi" w:cstheme="minorHAnsi"/>
        </w:rPr>
        <w:br/>
      </w:r>
      <w:r w:rsidRPr="002C13E6">
        <w:rPr>
          <w:rFonts w:asciiTheme="minorHAnsi" w:hAnsiTheme="minorHAnsi" w:cstheme="minorHAnsi"/>
        </w:rPr>
        <w:t>Na</w:t>
      </w:r>
      <w:r w:rsidRPr="002C13E6">
        <w:rPr>
          <w:rFonts w:asciiTheme="minorHAnsi" w:hAnsiTheme="minorHAnsi" w:cstheme="minorHAnsi"/>
        </w:rPr>
        <w:t>r</w:t>
      </w:r>
      <w:r w:rsidRPr="002C13E6">
        <w:rPr>
          <w:rFonts w:asciiTheme="minorHAnsi" w:hAnsiTheme="minorHAnsi" w:cstheme="minorHAnsi"/>
        </w:rPr>
        <w:t>cotics Anonym</w:t>
      </w:r>
      <w:r w:rsidR="0083350A">
        <w:rPr>
          <w:rFonts w:asciiTheme="minorHAnsi" w:hAnsiTheme="minorHAnsi" w:cstheme="minorHAnsi"/>
        </w:rPr>
        <w:t xml:space="preserve">ous group. Here are six points </w:t>
      </w:r>
      <w:r w:rsidRPr="002C13E6">
        <w:rPr>
          <w:rFonts w:asciiTheme="minorHAnsi" w:hAnsiTheme="minorHAnsi" w:cstheme="minorHAnsi"/>
        </w:rPr>
        <w:t>based on our traditions which describe an</w:t>
      </w:r>
      <w:r w:rsidR="0083350A">
        <w:rPr>
          <w:rFonts w:asciiTheme="minorHAnsi" w:hAnsiTheme="minorHAnsi" w:cstheme="minorHAnsi"/>
        </w:rPr>
        <w:t xml:space="preserve"> </w:t>
      </w:r>
      <w:r w:rsidRPr="002C13E6">
        <w:rPr>
          <w:rFonts w:asciiTheme="minorHAnsi" w:hAnsiTheme="minorHAnsi" w:cstheme="minorHAnsi"/>
        </w:rPr>
        <w:t>NA group:</w:t>
      </w:r>
    </w:p>
    <w:p w:rsidR="006C4F30" w:rsidRPr="0083350A" w:rsidRDefault="006C4F30" w:rsidP="002916CB">
      <w:pPr>
        <w:pStyle w:val="ListParagraph"/>
        <w:numPr>
          <w:ilvl w:val="0"/>
          <w:numId w:val="1"/>
        </w:numPr>
        <w:spacing w:after="120"/>
        <w:ind w:left="360"/>
        <w:rPr>
          <w:rFonts w:asciiTheme="minorHAnsi" w:hAnsiTheme="minorHAnsi" w:cstheme="minorHAnsi"/>
        </w:rPr>
      </w:pPr>
      <w:r w:rsidRPr="0083350A">
        <w:rPr>
          <w:rFonts w:asciiTheme="minorHAnsi" w:hAnsiTheme="minorHAnsi" w:cstheme="minorHAnsi"/>
        </w:rPr>
        <w:t>All members of a group are drug addicts, and all drug addicts are eligible for</w:t>
      </w:r>
      <w:r w:rsidR="0083350A" w:rsidRPr="0083350A">
        <w:rPr>
          <w:rFonts w:asciiTheme="minorHAnsi" w:hAnsiTheme="minorHAnsi" w:cstheme="minorHAnsi"/>
        </w:rPr>
        <w:t xml:space="preserve"> </w:t>
      </w:r>
      <w:r w:rsidRPr="0083350A">
        <w:rPr>
          <w:rFonts w:asciiTheme="minorHAnsi" w:hAnsiTheme="minorHAnsi" w:cstheme="minorHAnsi"/>
        </w:rPr>
        <w:t>membe</w:t>
      </w:r>
      <w:r w:rsidRPr="0083350A">
        <w:rPr>
          <w:rFonts w:asciiTheme="minorHAnsi" w:hAnsiTheme="minorHAnsi" w:cstheme="minorHAnsi"/>
        </w:rPr>
        <w:t>r</w:t>
      </w:r>
      <w:r w:rsidRPr="0083350A">
        <w:rPr>
          <w:rFonts w:asciiTheme="minorHAnsi" w:hAnsiTheme="minorHAnsi" w:cstheme="minorHAnsi"/>
        </w:rPr>
        <w:t>ship.</w:t>
      </w:r>
    </w:p>
    <w:p w:rsidR="0083350A" w:rsidRDefault="0083350A" w:rsidP="002916CB">
      <w:pPr>
        <w:spacing w:line="276" w:lineRule="auto"/>
        <w:ind w:left="360"/>
        <w:contextualSpacing/>
        <w:rPr>
          <w:rFonts w:asciiTheme="minorHAnsi" w:eastAsiaTheme="minorHAnsi" w:hAnsiTheme="minorHAnsi" w:cstheme="minorBidi"/>
          <w:b/>
          <w:sz w:val="22"/>
          <w:szCs w:val="22"/>
        </w:rPr>
      </w:pPr>
      <w:r w:rsidRPr="0083350A">
        <w:rPr>
          <w:rFonts w:asciiTheme="minorHAnsi" w:eastAsiaTheme="minorHAnsi" w:hAnsiTheme="minorHAnsi" w:cstheme="minorBidi"/>
          <w:b/>
          <w:sz w:val="22"/>
          <w:szCs w:val="22"/>
        </w:rPr>
        <w:t xml:space="preserve">How can we work towards making sure NA membership is available to </w:t>
      </w:r>
      <w:r w:rsidRPr="0083350A">
        <w:rPr>
          <w:rFonts w:asciiTheme="minorHAnsi" w:eastAsiaTheme="minorHAnsi" w:hAnsiTheme="minorHAnsi" w:cstheme="minorBidi"/>
          <w:b/>
          <w:sz w:val="22"/>
          <w:szCs w:val="22"/>
          <w:u w:val="single"/>
        </w:rPr>
        <w:t>every</w:t>
      </w:r>
      <w:r w:rsidRPr="0083350A">
        <w:rPr>
          <w:rFonts w:asciiTheme="minorHAnsi" w:eastAsiaTheme="minorHAnsi" w:hAnsiTheme="minorHAnsi" w:cstheme="minorBidi"/>
          <w:b/>
          <w:sz w:val="22"/>
          <w:szCs w:val="22"/>
        </w:rPr>
        <w:t xml:space="preserve"> addict in our </w:t>
      </w:r>
      <w:r w:rsidR="002916CB">
        <w:rPr>
          <w:rFonts w:asciiTheme="minorHAnsi" w:eastAsiaTheme="minorHAnsi" w:hAnsiTheme="minorHAnsi" w:cstheme="minorBidi"/>
          <w:b/>
          <w:sz w:val="22"/>
          <w:szCs w:val="22"/>
        </w:rPr>
        <w:br/>
      </w:r>
      <w:r w:rsidRPr="0083350A">
        <w:rPr>
          <w:rFonts w:asciiTheme="minorHAnsi" w:eastAsiaTheme="minorHAnsi" w:hAnsiTheme="minorHAnsi" w:cstheme="minorBidi"/>
          <w:b/>
          <w:sz w:val="22"/>
          <w:szCs w:val="22"/>
        </w:rPr>
        <w:t>commun</w:t>
      </w:r>
      <w:r w:rsidRPr="0083350A">
        <w:rPr>
          <w:rFonts w:asciiTheme="minorHAnsi" w:eastAsiaTheme="minorHAnsi" w:hAnsiTheme="minorHAnsi" w:cstheme="minorBidi"/>
          <w:b/>
          <w:sz w:val="22"/>
          <w:szCs w:val="22"/>
        </w:rPr>
        <w:t>i</w:t>
      </w:r>
      <w:r w:rsidRPr="0083350A">
        <w:rPr>
          <w:rFonts w:asciiTheme="minorHAnsi" w:eastAsiaTheme="minorHAnsi" w:hAnsiTheme="minorHAnsi" w:cstheme="minorBidi"/>
          <w:b/>
          <w:sz w:val="22"/>
          <w:szCs w:val="22"/>
        </w:rPr>
        <w:t xml:space="preserve">ty? </w:t>
      </w:r>
    </w:p>
    <w:p w:rsidR="002916CB" w:rsidRDefault="002916CB" w:rsidP="002916CB">
      <w:pPr>
        <w:spacing w:line="276" w:lineRule="auto"/>
        <w:ind w:left="360"/>
        <w:contextualSpacing/>
        <w:rPr>
          <w:rFonts w:asciiTheme="minorHAnsi" w:eastAsiaTheme="minorHAnsi" w:hAnsiTheme="minorHAnsi" w:cstheme="minorBidi"/>
          <w:b/>
          <w:sz w:val="22"/>
          <w:szCs w:val="22"/>
          <w:u w:val="single"/>
        </w:rPr>
      </w:pP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p>
    <w:p w:rsidR="002916CB" w:rsidRPr="0083350A" w:rsidRDefault="002916CB" w:rsidP="002916CB">
      <w:pPr>
        <w:spacing w:line="276" w:lineRule="auto"/>
        <w:ind w:left="360"/>
        <w:contextualSpacing/>
        <w:rPr>
          <w:rFonts w:asciiTheme="minorHAnsi" w:eastAsiaTheme="minorHAnsi" w:hAnsiTheme="minorHAnsi" w:cstheme="minorBidi"/>
          <w:b/>
          <w:sz w:val="22"/>
          <w:szCs w:val="22"/>
          <w:u w:val="single"/>
        </w:rPr>
      </w:pP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u w:val="single"/>
        </w:rPr>
        <w:tab/>
      </w:r>
    </w:p>
    <w:p w:rsidR="0083350A" w:rsidRPr="0083350A" w:rsidRDefault="0083350A" w:rsidP="0083350A">
      <w:pPr>
        <w:rPr>
          <w:rFonts w:asciiTheme="minorHAnsi" w:hAnsiTheme="minorHAnsi" w:cstheme="minorHAnsi"/>
        </w:rPr>
      </w:pPr>
    </w:p>
    <w:p w:rsidR="0083350A" w:rsidRPr="002916CB" w:rsidRDefault="006C4F30" w:rsidP="002916CB">
      <w:pPr>
        <w:pStyle w:val="ListParagraph"/>
        <w:numPr>
          <w:ilvl w:val="0"/>
          <w:numId w:val="1"/>
        </w:numPr>
        <w:spacing w:after="120"/>
        <w:ind w:left="360"/>
        <w:rPr>
          <w:rFonts w:asciiTheme="minorHAnsi" w:hAnsiTheme="minorHAnsi" w:cstheme="minorHAnsi"/>
        </w:rPr>
      </w:pPr>
      <w:r w:rsidRPr="0083350A">
        <w:rPr>
          <w:rFonts w:asciiTheme="minorHAnsi" w:hAnsiTheme="minorHAnsi" w:cstheme="minorHAnsi"/>
        </w:rPr>
        <w:t>As a group, they are self-supporting.</w:t>
      </w:r>
    </w:p>
    <w:p w:rsidR="0083350A" w:rsidRDefault="0083350A" w:rsidP="002916CB">
      <w:pPr>
        <w:ind w:firstLine="360"/>
        <w:rPr>
          <w:rFonts w:asciiTheme="minorHAnsi" w:hAnsiTheme="minorHAnsi" w:cstheme="minorHAnsi"/>
          <w:b/>
        </w:rPr>
      </w:pPr>
      <w:r w:rsidRPr="002916CB">
        <w:rPr>
          <w:rFonts w:asciiTheme="minorHAnsi" w:hAnsiTheme="minorHAnsi" w:cstheme="minorHAnsi"/>
          <w:b/>
        </w:rPr>
        <w:t>What does being self-supporting add to our groups and to our recoveries?</w:t>
      </w:r>
    </w:p>
    <w:p w:rsidR="002916CB" w:rsidRDefault="002916CB" w:rsidP="002916CB">
      <w:pPr>
        <w:ind w:firstLine="360"/>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002916CB" w:rsidRPr="002916CB" w:rsidRDefault="002916CB" w:rsidP="002916CB">
      <w:pPr>
        <w:ind w:firstLine="360"/>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0083350A" w:rsidRPr="0083350A" w:rsidRDefault="0083350A" w:rsidP="0083350A">
      <w:pPr>
        <w:rPr>
          <w:rFonts w:asciiTheme="minorHAnsi" w:hAnsiTheme="minorHAnsi" w:cstheme="minorHAnsi"/>
        </w:rPr>
      </w:pPr>
    </w:p>
    <w:p w:rsidR="0083350A" w:rsidRPr="002916CB" w:rsidRDefault="006C4F30" w:rsidP="002916CB">
      <w:pPr>
        <w:pStyle w:val="ListParagraph"/>
        <w:numPr>
          <w:ilvl w:val="0"/>
          <w:numId w:val="1"/>
        </w:numPr>
        <w:spacing w:after="120"/>
        <w:ind w:left="360"/>
        <w:rPr>
          <w:rFonts w:asciiTheme="minorHAnsi" w:hAnsiTheme="minorHAnsi" w:cstheme="minorHAnsi"/>
        </w:rPr>
      </w:pPr>
      <w:r w:rsidRPr="0083350A">
        <w:rPr>
          <w:rFonts w:asciiTheme="minorHAnsi" w:hAnsiTheme="minorHAnsi" w:cstheme="minorHAnsi"/>
        </w:rPr>
        <w:t>As a group, their single goal is to help drug addicts recover through application of the</w:t>
      </w:r>
      <w:r w:rsidR="0083350A" w:rsidRPr="0083350A">
        <w:rPr>
          <w:rFonts w:asciiTheme="minorHAnsi" w:hAnsiTheme="minorHAnsi" w:cstheme="minorHAnsi"/>
        </w:rPr>
        <w:t xml:space="preserve"> </w:t>
      </w:r>
      <w:r w:rsidRPr="0083350A">
        <w:rPr>
          <w:rFonts w:asciiTheme="minorHAnsi" w:hAnsiTheme="minorHAnsi" w:cstheme="minorHAnsi"/>
        </w:rPr>
        <w:t>Twelve Steps of Narcotics Anonymous.</w:t>
      </w:r>
    </w:p>
    <w:p w:rsidR="0083350A" w:rsidRDefault="0083350A" w:rsidP="002916CB">
      <w:pPr>
        <w:ind w:left="360"/>
        <w:rPr>
          <w:rFonts w:asciiTheme="minorHAnsi" w:hAnsiTheme="minorHAnsi" w:cstheme="minorHAnsi"/>
          <w:b/>
        </w:rPr>
      </w:pPr>
      <w:r w:rsidRPr="002916CB">
        <w:rPr>
          <w:rFonts w:asciiTheme="minorHAnsi" w:hAnsiTheme="minorHAnsi" w:cstheme="minorHAnsi"/>
          <w:b/>
        </w:rPr>
        <w:t>What are the most effective ways that a group can fulfill its primary purpose of helping addicts recover?</w:t>
      </w:r>
    </w:p>
    <w:p w:rsidR="002916CB" w:rsidRDefault="002916CB" w:rsidP="002916CB">
      <w:pPr>
        <w:ind w:left="360"/>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002916CB" w:rsidRPr="002916CB" w:rsidRDefault="002916CB" w:rsidP="002916CB">
      <w:pPr>
        <w:ind w:left="360"/>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0083350A" w:rsidRPr="0083350A" w:rsidRDefault="0083350A" w:rsidP="0083350A">
      <w:pPr>
        <w:rPr>
          <w:rFonts w:asciiTheme="minorHAnsi" w:hAnsiTheme="minorHAnsi" w:cstheme="minorHAnsi"/>
        </w:rPr>
      </w:pPr>
    </w:p>
    <w:p w:rsidR="0083350A" w:rsidRPr="002916CB" w:rsidRDefault="006C4F30" w:rsidP="002916CB">
      <w:pPr>
        <w:pStyle w:val="ListParagraph"/>
        <w:numPr>
          <w:ilvl w:val="0"/>
          <w:numId w:val="1"/>
        </w:numPr>
        <w:spacing w:after="120"/>
        <w:ind w:left="360"/>
        <w:rPr>
          <w:rFonts w:asciiTheme="minorHAnsi" w:hAnsiTheme="minorHAnsi" w:cstheme="minorHAnsi"/>
        </w:rPr>
      </w:pPr>
      <w:r w:rsidRPr="0083350A">
        <w:rPr>
          <w:rFonts w:asciiTheme="minorHAnsi" w:hAnsiTheme="minorHAnsi" w:cstheme="minorHAnsi"/>
        </w:rPr>
        <w:t>As a group, they have no affiliation outside Na</w:t>
      </w:r>
      <w:r w:rsidRPr="0083350A">
        <w:rPr>
          <w:rFonts w:asciiTheme="minorHAnsi" w:hAnsiTheme="minorHAnsi" w:cstheme="minorHAnsi"/>
        </w:rPr>
        <w:t>r</w:t>
      </w:r>
      <w:r w:rsidRPr="0083350A">
        <w:rPr>
          <w:rFonts w:asciiTheme="minorHAnsi" w:hAnsiTheme="minorHAnsi" w:cstheme="minorHAnsi"/>
        </w:rPr>
        <w:t>cotics Anonymous.</w:t>
      </w:r>
    </w:p>
    <w:p w:rsidR="0083350A" w:rsidRDefault="0083350A" w:rsidP="002916CB">
      <w:pPr>
        <w:ind w:left="360"/>
        <w:rPr>
          <w:rFonts w:asciiTheme="minorHAnsi" w:hAnsiTheme="minorHAnsi" w:cstheme="minorHAnsi"/>
          <w:b/>
        </w:rPr>
      </w:pPr>
      <w:r w:rsidRPr="002916CB">
        <w:rPr>
          <w:rFonts w:asciiTheme="minorHAnsi" w:hAnsiTheme="minorHAnsi" w:cstheme="minorHAnsi"/>
          <w:b/>
        </w:rPr>
        <w:t>In what ways do our groups risk being affiliated, or risk appearing to be affiliated, with outside e</w:t>
      </w:r>
      <w:r w:rsidRPr="002916CB">
        <w:rPr>
          <w:rFonts w:asciiTheme="minorHAnsi" w:hAnsiTheme="minorHAnsi" w:cstheme="minorHAnsi"/>
          <w:b/>
        </w:rPr>
        <w:t>n</w:t>
      </w:r>
      <w:r w:rsidRPr="002916CB">
        <w:rPr>
          <w:rFonts w:asciiTheme="minorHAnsi" w:hAnsiTheme="minorHAnsi" w:cstheme="minorHAnsi"/>
          <w:b/>
        </w:rPr>
        <w:t>terprises?</w:t>
      </w:r>
    </w:p>
    <w:p w:rsidR="002916CB" w:rsidRDefault="002916CB" w:rsidP="002916CB">
      <w:pPr>
        <w:ind w:left="360"/>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002916CB" w:rsidRPr="002916CB" w:rsidRDefault="002916CB" w:rsidP="002916CB">
      <w:pPr>
        <w:ind w:left="360"/>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0083350A" w:rsidRPr="0083350A" w:rsidRDefault="0083350A" w:rsidP="0083350A">
      <w:pPr>
        <w:rPr>
          <w:rFonts w:asciiTheme="minorHAnsi" w:hAnsiTheme="minorHAnsi" w:cstheme="minorHAnsi"/>
        </w:rPr>
      </w:pPr>
    </w:p>
    <w:p w:rsidR="0083350A" w:rsidRPr="002916CB" w:rsidRDefault="006C4F30" w:rsidP="002916CB">
      <w:pPr>
        <w:pStyle w:val="ListParagraph"/>
        <w:numPr>
          <w:ilvl w:val="0"/>
          <w:numId w:val="1"/>
        </w:numPr>
        <w:spacing w:after="120"/>
        <w:ind w:left="360"/>
        <w:rPr>
          <w:rFonts w:asciiTheme="minorHAnsi" w:hAnsiTheme="minorHAnsi" w:cstheme="minorHAnsi"/>
        </w:rPr>
      </w:pPr>
      <w:r w:rsidRPr="0083350A">
        <w:rPr>
          <w:rFonts w:asciiTheme="minorHAnsi" w:hAnsiTheme="minorHAnsi" w:cstheme="minorHAnsi"/>
        </w:rPr>
        <w:t>As a group, they express no opinion on outside issues.</w:t>
      </w:r>
    </w:p>
    <w:p w:rsidR="0083350A" w:rsidRDefault="002916CB" w:rsidP="002916CB">
      <w:pPr>
        <w:ind w:firstLine="360"/>
        <w:rPr>
          <w:rFonts w:asciiTheme="minorHAnsi" w:hAnsiTheme="minorHAnsi" w:cstheme="minorHAnsi"/>
          <w:b/>
        </w:rPr>
      </w:pPr>
      <w:r w:rsidRPr="002916CB">
        <w:rPr>
          <w:rFonts w:asciiTheme="minorHAnsi" w:hAnsiTheme="minorHAnsi" w:cstheme="minorHAnsi"/>
          <w:b/>
        </w:rPr>
        <w:t>What can our groups do to avoid expressing opinions on outside issues?</w:t>
      </w:r>
    </w:p>
    <w:p w:rsidR="002916CB" w:rsidRDefault="002916CB" w:rsidP="002916CB">
      <w:pPr>
        <w:ind w:firstLine="360"/>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002916CB" w:rsidRPr="002916CB" w:rsidRDefault="002916CB" w:rsidP="002916CB">
      <w:pPr>
        <w:ind w:firstLine="360"/>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0083350A" w:rsidRPr="0083350A" w:rsidRDefault="0083350A" w:rsidP="0083350A">
      <w:pPr>
        <w:rPr>
          <w:rFonts w:asciiTheme="minorHAnsi" w:hAnsiTheme="minorHAnsi" w:cstheme="minorHAnsi"/>
        </w:rPr>
      </w:pPr>
    </w:p>
    <w:p w:rsidR="002916CB" w:rsidRPr="002916CB" w:rsidRDefault="006C4F30" w:rsidP="002916CB">
      <w:pPr>
        <w:pStyle w:val="ListParagraph"/>
        <w:numPr>
          <w:ilvl w:val="0"/>
          <w:numId w:val="1"/>
        </w:numPr>
        <w:spacing w:after="120"/>
        <w:ind w:left="360"/>
        <w:rPr>
          <w:rFonts w:asciiTheme="minorHAnsi" w:hAnsiTheme="minorHAnsi" w:cstheme="minorHAnsi"/>
        </w:rPr>
      </w:pPr>
      <w:r w:rsidRPr="002916CB">
        <w:rPr>
          <w:rFonts w:asciiTheme="minorHAnsi" w:hAnsiTheme="minorHAnsi" w:cstheme="minorHAnsi"/>
        </w:rPr>
        <w:t>As a group, their public relations policy is based on attraction rather than promotion.</w:t>
      </w:r>
    </w:p>
    <w:p w:rsidR="002916CB" w:rsidRDefault="002916CB" w:rsidP="002916CB">
      <w:pPr>
        <w:ind w:firstLine="360"/>
        <w:rPr>
          <w:rFonts w:asciiTheme="minorHAnsi" w:hAnsiTheme="minorHAnsi" w:cstheme="minorHAnsi"/>
          <w:b/>
        </w:rPr>
      </w:pPr>
      <w:r w:rsidRPr="002916CB">
        <w:rPr>
          <w:rFonts w:asciiTheme="minorHAnsi" w:hAnsiTheme="minorHAnsi" w:cstheme="minorHAnsi"/>
          <w:b/>
        </w:rPr>
        <w:t>What can our groups do to be attractive to new members?</w:t>
      </w:r>
    </w:p>
    <w:p w:rsidR="002916CB" w:rsidRDefault="002916CB" w:rsidP="002916CB">
      <w:pPr>
        <w:ind w:firstLine="360"/>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002916CB" w:rsidRDefault="002916CB" w:rsidP="002916CB">
      <w:pPr>
        <w:ind w:firstLine="360"/>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002916CB" w:rsidRPr="006D665A" w:rsidRDefault="006D665A" w:rsidP="002916CB">
      <w:pPr>
        <w:ind w:firstLine="360"/>
        <w:jc w:val="center"/>
        <w:rPr>
          <w:rFonts w:asciiTheme="minorHAnsi" w:hAnsiTheme="minorHAnsi" w:cstheme="minorHAnsi"/>
          <w:b/>
        </w:rPr>
      </w:pPr>
      <w:r w:rsidRPr="006D665A">
        <w:rPr>
          <w:rFonts w:asciiTheme="minorHAnsi" w:hAnsiTheme="minorHAnsi" w:cstheme="minorHAnsi"/>
          <w:b/>
          <w:noProof/>
        </w:rPr>
        <w:drawing>
          <wp:inline distT="0" distB="0" distL="0" distR="0" wp14:anchorId="5F35FFE6" wp14:editId="35A6F7D7">
            <wp:extent cx="553839" cy="548640"/>
            <wp:effectExtent l="0" t="0" r="0" b="3810"/>
            <wp:docPr id="5" name="Picture 5" descr="C:\Users\nick\Pictures\Graphics for PPt and docs\NA logo black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k\Pictures\Graphics for PPt and docs\NA logo black no 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839" cy="548640"/>
                    </a:xfrm>
                    <a:prstGeom prst="rect">
                      <a:avLst/>
                    </a:prstGeom>
                    <a:noFill/>
                    <a:ln>
                      <a:noFill/>
                    </a:ln>
                  </pic:spPr>
                </pic:pic>
              </a:graphicData>
            </a:graphic>
          </wp:inline>
        </w:drawing>
      </w:r>
      <w:bookmarkStart w:id="0" w:name="_GoBack"/>
      <w:bookmarkEnd w:id="0"/>
    </w:p>
    <w:sectPr w:rsidR="002916CB" w:rsidRPr="006D665A" w:rsidSect="006D665A">
      <w:type w:val="continuous"/>
      <w:pgSz w:w="12240" w:h="15840" w:code="1"/>
      <w:pgMar w:top="1440" w:right="1440" w:bottom="1440" w:left="1440" w:header="288" w:footer="144"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E2" w:rsidRDefault="001512E2">
      <w:r>
        <w:separator/>
      </w:r>
    </w:p>
  </w:endnote>
  <w:endnote w:type="continuationSeparator" w:id="0">
    <w:p w:rsidR="001512E2" w:rsidRDefault="0015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
    <w:panose1 w:val="00000000000000000000"/>
    <w:charset w:val="00"/>
    <w:family w:val="roman"/>
    <w:notTrueType/>
    <w:pitch w:val="default"/>
    <w:sig w:usb0="0000016F" w:usb1="0062CE84" w:usb2="BFF71826" w:usb3="00000000" w:csb0="00000001" w:csb1="01C82B50"/>
  </w:font>
  <w:font w:name="Tahoma">
    <w:panose1 w:val="020B0604030504040204"/>
    <w:charset w:val="00"/>
    <w:family w:val="swiss"/>
    <w:pitch w:val="variable"/>
    <w:sig w:usb0="E1002EFF" w:usb1="C000605B" w:usb2="00000029" w:usb3="00000000" w:csb0="000101FF" w:csb1="00000000"/>
  </w:font>
  <w:font w:name="Benguiat Gothic Heavy">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C7" w:rsidRDefault="00F673C7" w:rsidP="00F673C7">
    <w:pPr>
      <w:pStyle w:val="Footer"/>
      <w:pBdr>
        <w:top w:val="single" w:sz="4" w:space="1" w:color="auto"/>
      </w:pBdr>
      <w:spacing w:before="80"/>
      <w:ind w:right="-108"/>
      <w:jc w:val="center"/>
    </w:pPr>
    <w:r>
      <w:t xml:space="preserve">Excepts from the Basic Text and </w:t>
    </w:r>
    <w:r>
      <w:rPr>
        <w:i/>
      </w:rPr>
      <w:t>It Works: How and Why</w:t>
    </w:r>
  </w:p>
  <w:p w:rsidR="00F673C7" w:rsidRDefault="00F67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E2" w:rsidRDefault="001512E2">
      <w:r>
        <w:separator/>
      </w:r>
    </w:p>
  </w:footnote>
  <w:footnote w:type="continuationSeparator" w:id="0">
    <w:p w:rsidR="001512E2" w:rsidRDefault="00151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65A" w:rsidRDefault="006D665A" w:rsidP="006D665A">
    <w:pPr>
      <w:pStyle w:val="Header"/>
      <w:jc w:val="center"/>
    </w:pPr>
    <w:r>
      <w:rPr>
        <w:noProof/>
      </w:rPr>
      <w:drawing>
        <wp:inline distT="0" distB="0" distL="0" distR="0">
          <wp:extent cx="553839" cy="548640"/>
          <wp:effectExtent l="0" t="0" r="0" b="3810"/>
          <wp:docPr id="4" name="Picture 4" descr="C:\Users\nick\Pictures\Graphics for PPt and docs\NA logo black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k\Pictures\Graphics for PPt and docs\NA logo black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839" cy="5486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78" w:rsidRPr="00697058" w:rsidRDefault="00620B7F" w:rsidP="00BC4629">
    <w:pPr>
      <w:pStyle w:val="Header"/>
      <w:spacing w:after="240"/>
      <w:rPr>
        <w:rFonts w:ascii="Benguiat Gothic Heavy" w:hAnsi="Benguiat Gothic Heavy"/>
        <w:spacing w:val="20"/>
        <w:szCs w:val="16"/>
      </w:rPr>
    </w:pPr>
    <w:r w:rsidRPr="006C4F30">
      <w:rPr>
        <w:rFonts w:ascii="Benguiat Gothic Heavy" w:hAnsi="Benguiat Gothic Heavy"/>
        <w:b/>
        <w:noProof/>
        <w:spacing w:val="20"/>
        <w:sz w:val="28"/>
        <w:szCs w:val="28"/>
      </w:rPr>
      <w:drawing>
        <wp:inline distT="0" distB="0" distL="0" distR="0" wp14:anchorId="7BA342DB" wp14:editId="4148C2C5">
          <wp:extent cx="457200" cy="457200"/>
          <wp:effectExtent l="0" t="0" r="0" b="0"/>
          <wp:docPr id="1" name="Picture 1" descr="service_symbol-[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_symbol-[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solidFill>
                    <a:srgbClr val="000000"/>
                  </a:solidFill>
                  <a:ln>
                    <a:noFill/>
                  </a:ln>
                </pic:spPr>
              </pic:pic>
            </a:graphicData>
          </a:graphic>
        </wp:inline>
      </w:drawing>
    </w:r>
    <w:r w:rsidR="00326A78">
      <w:rPr>
        <w:rFonts w:ascii="Benguiat Gothic Heavy" w:hAnsi="Benguiat Gothic Heavy"/>
        <w:spacing w:val="20"/>
        <w:sz w:val="28"/>
        <w:szCs w:val="28"/>
      </w:rPr>
      <w:t xml:space="preserve"> </w:t>
    </w:r>
    <w:r w:rsidR="00326A78" w:rsidRPr="006C4F30">
      <w:rPr>
        <w:rFonts w:asciiTheme="minorHAnsi" w:hAnsiTheme="minorHAnsi" w:cstheme="minorHAnsi"/>
        <w:b/>
        <w:spacing w:val="20"/>
        <w:position w:val="16"/>
        <w:sz w:val="28"/>
        <w:szCs w:val="28"/>
      </w:rPr>
      <w:t>The Twelve Traditions of 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F93"/>
    <w:multiLevelType w:val="hybridMultilevel"/>
    <w:tmpl w:val="8CC8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consecutiveHyphenLimit w:val="2"/>
  <w:evenAndOddHeaders/>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7E"/>
    <w:rsid w:val="0000419B"/>
    <w:rsid w:val="0004102C"/>
    <w:rsid w:val="00094FFC"/>
    <w:rsid w:val="000B7D92"/>
    <w:rsid w:val="000C50F1"/>
    <w:rsid w:val="000E1C6F"/>
    <w:rsid w:val="00101E3E"/>
    <w:rsid w:val="00123F49"/>
    <w:rsid w:val="001512E2"/>
    <w:rsid w:val="00153DA1"/>
    <w:rsid w:val="00154270"/>
    <w:rsid w:val="001564AA"/>
    <w:rsid w:val="001825CF"/>
    <w:rsid w:val="0018350C"/>
    <w:rsid w:val="001C4BF3"/>
    <w:rsid w:val="0020661A"/>
    <w:rsid w:val="00240EFD"/>
    <w:rsid w:val="002424B6"/>
    <w:rsid w:val="00246458"/>
    <w:rsid w:val="00260C15"/>
    <w:rsid w:val="002916CB"/>
    <w:rsid w:val="002C13E6"/>
    <w:rsid w:val="002C55F1"/>
    <w:rsid w:val="002D42F3"/>
    <w:rsid w:val="002D6D00"/>
    <w:rsid w:val="00313D64"/>
    <w:rsid w:val="00326A78"/>
    <w:rsid w:val="00347BC7"/>
    <w:rsid w:val="00367DA9"/>
    <w:rsid w:val="00393791"/>
    <w:rsid w:val="00394A88"/>
    <w:rsid w:val="003C3B9C"/>
    <w:rsid w:val="003F4CFD"/>
    <w:rsid w:val="003F68B4"/>
    <w:rsid w:val="003F70C6"/>
    <w:rsid w:val="003F7E32"/>
    <w:rsid w:val="00412C7D"/>
    <w:rsid w:val="00450ADA"/>
    <w:rsid w:val="004E0885"/>
    <w:rsid w:val="004F2ECE"/>
    <w:rsid w:val="004F48B9"/>
    <w:rsid w:val="004F5347"/>
    <w:rsid w:val="00505F38"/>
    <w:rsid w:val="005273C5"/>
    <w:rsid w:val="005439A7"/>
    <w:rsid w:val="00557AD5"/>
    <w:rsid w:val="0058314E"/>
    <w:rsid w:val="00585B80"/>
    <w:rsid w:val="005863C9"/>
    <w:rsid w:val="00586594"/>
    <w:rsid w:val="005A23A9"/>
    <w:rsid w:val="005B630E"/>
    <w:rsid w:val="0061475D"/>
    <w:rsid w:val="00620B7F"/>
    <w:rsid w:val="006279F9"/>
    <w:rsid w:val="00641815"/>
    <w:rsid w:val="00673CA3"/>
    <w:rsid w:val="006766CA"/>
    <w:rsid w:val="00686DC1"/>
    <w:rsid w:val="006958D0"/>
    <w:rsid w:val="00697058"/>
    <w:rsid w:val="006C0FD8"/>
    <w:rsid w:val="006C4F30"/>
    <w:rsid w:val="006D5561"/>
    <w:rsid w:val="006D665A"/>
    <w:rsid w:val="00757061"/>
    <w:rsid w:val="00784309"/>
    <w:rsid w:val="007976F6"/>
    <w:rsid w:val="007A60B9"/>
    <w:rsid w:val="008035CD"/>
    <w:rsid w:val="00824F9C"/>
    <w:rsid w:val="0083350A"/>
    <w:rsid w:val="008426D9"/>
    <w:rsid w:val="008B23A6"/>
    <w:rsid w:val="008B69FC"/>
    <w:rsid w:val="008D385A"/>
    <w:rsid w:val="008F3984"/>
    <w:rsid w:val="008F7F96"/>
    <w:rsid w:val="00904736"/>
    <w:rsid w:val="00912AA8"/>
    <w:rsid w:val="00924217"/>
    <w:rsid w:val="00937352"/>
    <w:rsid w:val="00964B72"/>
    <w:rsid w:val="00985ACE"/>
    <w:rsid w:val="009C1E0B"/>
    <w:rsid w:val="009E011B"/>
    <w:rsid w:val="00A116EA"/>
    <w:rsid w:val="00A86A18"/>
    <w:rsid w:val="00A94533"/>
    <w:rsid w:val="00AC4027"/>
    <w:rsid w:val="00AD1CE5"/>
    <w:rsid w:val="00AF1E65"/>
    <w:rsid w:val="00B0380B"/>
    <w:rsid w:val="00B52EBC"/>
    <w:rsid w:val="00B612FF"/>
    <w:rsid w:val="00BC4629"/>
    <w:rsid w:val="00C237F2"/>
    <w:rsid w:val="00C24AA8"/>
    <w:rsid w:val="00C2637E"/>
    <w:rsid w:val="00C51635"/>
    <w:rsid w:val="00C71FFE"/>
    <w:rsid w:val="00CB1047"/>
    <w:rsid w:val="00D451E7"/>
    <w:rsid w:val="00D77BFB"/>
    <w:rsid w:val="00D8456B"/>
    <w:rsid w:val="00DC059A"/>
    <w:rsid w:val="00DC3DEE"/>
    <w:rsid w:val="00DD747D"/>
    <w:rsid w:val="00DF6DCD"/>
    <w:rsid w:val="00E40709"/>
    <w:rsid w:val="00E42EEE"/>
    <w:rsid w:val="00E80C25"/>
    <w:rsid w:val="00EA6D89"/>
    <w:rsid w:val="00EF3585"/>
    <w:rsid w:val="00F0312A"/>
    <w:rsid w:val="00F22CB6"/>
    <w:rsid w:val="00F43B06"/>
    <w:rsid w:val="00F45C76"/>
    <w:rsid w:val="00F673C7"/>
    <w:rsid w:val="00FE29D7"/>
    <w:rsid w:val="00FE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rFonts w:ascii="Perpetua" w:hAnsi="Perpet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rpt">
    <w:name w:val="Excerpt"/>
    <w:basedOn w:val="Normal"/>
    <w:autoRedefine/>
    <w:rsid w:val="0058314E"/>
    <w:pPr>
      <w:ind w:firstLine="216"/>
      <w:jc w:val="both"/>
    </w:pPr>
    <w:rPr>
      <w:rFonts w:ascii="Bodoni MT" w:hAnsi="Bodoni MT"/>
      <w:spacing w:val="-6"/>
      <w:sz w:val="19"/>
      <w:szCs w:val="19"/>
    </w:rPr>
  </w:style>
  <w:style w:type="paragraph" w:styleId="Quote">
    <w:name w:val="Quote"/>
    <w:basedOn w:val="Normal"/>
    <w:autoRedefine/>
    <w:qFormat/>
    <w:rsid w:val="00A116EA"/>
    <w:pPr>
      <w:shd w:val="clear" w:color="auto" w:fill="B3B3B3"/>
      <w:spacing w:before="120" w:after="80"/>
      <w:jc w:val="center"/>
    </w:pPr>
    <w:rPr>
      <w:rFonts w:ascii="Bodoni MT" w:hAnsi="Bodoni MT"/>
      <w:b/>
      <w:i/>
      <w:sz w:val="19"/>
      <w:szCs w:val="20"/>
    </w:rPr>
  </w:style>
  <w:style w:type="paragraph" w:customStyle="1" w:styleId="Subtitles">
    <w:name w:val="Subtitles"/>
    <w:basedOn w:val="Normal"/>
    <w:autoRedefine/>
    <w:rsid w:val="006C4F30"/>
    <w:pPr>
      <w:jc w:val="center"/>
    </w:pPr>
    <w:rPr>
      <w:rFonts w:asciiTheme="minorHAnsi" w:hAnsiTheme="minorHAnsi" w:cstheme="minorHAnsi"/>
      <w:b/>
      <w:spacing w:val="10"/>
      <w:position w:val="6"/>
      <w:sz w:val="22"/>
      <w:szCs w:val="22"/>
    </w:rPr>
  </w:style>
  <w:style w:type="paragraph" w:styleId="Header">
    <w:name w:val="header"/>
    <w:basedOn w:val="Normal"/>
    <w:rsid w:val="003C3B9C"/>
    <w:pPr>
      <w:tabs>
        <w:tab w:val="center" w:pos="4320"/>
        <w:tab w:val="right" w:pos="8640"/>
      </w:tabs>
    </w:pPr>
  </w:style>
  <w:style w:type="paragraph" w:styleId="Footer">
    <w:name w:val="footer"/>
    <w:basedOn w:val="Normal"/>
    <w:rsid w:val="003C3B9C"/>
    <w:pPr>
      <w:tabs>
        <w:tab w:val="center" w:pos="4320"/>
        <w:tab w:val="right" w:pos="8640"/>
      </w:tabs>
    </w:pPr>
  </w:style>
  <w:style w:type="paragraph" w:customStyle="1" w:styleId="tocsubhd">
    <w:name w:val="tocsubhd"/>
    <w:rsid w:val="005439A7"/>
    <w:pPr>
      <w:widowControl w:val="0"/>
      <w:tabs>
        <w:tab w:val="right" w:pos="6600"/>
      </w:tabs>
      <w:spacing w:before="120" w:line="280" w:lineRule="exact"/>
      <w:jc w:val="both"/>
    </w:pPr>
    <w:rPr>
      <w:rFonts w:ascii="Arial" w:hAnsi="Arial"/>
      <w:b/>
      <w:sz w:val="24"/>
    </w:rPr>
  </w:style>
  <w:style w:type="paragraph" w:customStyle="1" w:styleId="tocbc">
    <w:name w:val="tocbc"/>
    <w:rsid w:val="005439A7"/>
    <w:pPr>
      <w:widowControl w:val="0"/>
      <w:tabs>
        <w:tab w:val="right" w:pos="6600"/>
      </w:tabs>
      <w:jc w:val="both"/>
    </w:pPr>
    <w:rPr>
      <w:rFonts w:ascii="ar" w:hAnsi="ar"/>
    </w:rPr>
  </w:style>
  <w:style w:type="paragraph" w:styleId="BalloonText">
    <w:name w:val="Balloon Text"/>
    <w:basedOn w:val="Normal"/>
    <w:link w:val="BalloonTextChar"/>
    <w:rsid w:val="006C4F30"/>
    <w:rPr>
      <w:rFonts w:ascii="Tahoma" w:hAnsi="Tahoma" w:cs="Tahoma"/>
      <w:szCs w:val="16"/>
    </w:rPr>
  </w:style>
  <w:style w:type="character" w:customStyle="1" w:styleId="BalloonTextChar">
    <w:name w:val="Balloon Text Char"/>
    <w:basedOn w:val="DefaultParagraphFont"/>
    <w:link w:val="BalloonText"/>
    <w:rsid w:val="006C4F30"/>
    <w:rPr>
      <w:rFonts w:ascii="Tahoma" w:hAnsi="Tahoma" w:cs="Tahoma"/>
      <w:sz w:val="16"/>
      <w:szCs w:val="16"/>
    </w:rPr>
  </w:style>
  <w:style w:type="paragraph" w:styleId="ListParagraph">
    <w:name w:val="List Paragraph"/>
    <w:basedOn w:val="Normal"/>
    <w:uiPriority w:val="34"/>
    <w:qFormat/>
    <w:rsid w:val="00833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rFonts w:ascii="Perpetua" w:hAnsi="Perpet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rpt">
    <w:name w:val="Excerpt"/>
    <w:basedOn w:val="Normal"/>
    <w:autoRedefine/>
    <w:rsid w:val="0058314E"/>
    <w:pPr>
      <w:ind w:firstLine="216"/>
      <w:jc w:val="both"/>
    </w:pPr>
    <w:rPr>
      <w:rFonts w:ascii="Bodoni MT" w:hAnsi="Bodoni MT"/>
      <w:spacing w:val="-6"/>
      <w:sz w:val="19"/>
      <w:szCs w:val="19"/>
    </w:rPr>
  </w:style>
  <w:style w:type="paragraph" w:styleId="Quote">
    <w:name w:val="Quote"/>
    <w:basedOn w:val="Normal"/>
    <w:autoRedefine/>
    <w:qFormat/>
    <w:rsid w:val="00A116EA"/>
    <w:pPr>
      <w:shd w:val="clear" w:color="auto" w:fill="B3B3B3"/>
      <w:spacing w:before="120" w:after="80"/>
      <w:jc w:val="center"/>
    </w:pPr>
    <w:rPr>
      <w:rFonts w:ascii="Bodoni MT" w:hAnsi="Bodoni MT"/>
      <w:b/>
      <w:i/>
      <w:sz w:val="19"/>
      <w:szCs w:val="20"/>
    </w:rPr>
  </w:style>
  <w:style w:type="paragraph" w:customStyle="1" w:styleId="Subtitles">
    <w:name w:val="Subtitles"/>
    <w:basedOn w:val="Normal"/>
    <w:autoRedefine/>
    <w:rsid w:val="006C4F30"/>
    <w:pPr>
      <w:jc w:val="center"/>
    </w:pPr>
    <w:rPr>
      <w:rFonts w:asciiTheme="minorHAnsi" w:hAnsiTheme="minorHAnsi" w:cstheme="minorHAnsi"/>
      <w:b/>
      <w:spacing w:val="10"/>
      <w:position w:val="6"/>
      <w:sz w:val="22"/>
      <w:szCs w:val="22"/>
    </w:rPr>
  </w:style>
  <w:style w:type="paragraph" w:styleId="Header">
    <w:name w:val="header"/>
    <w:basedOn w:val="Normal"/>
    <w:rsid w:val="003C3B9C"/>
    <w:pPr>
      <w:tabs>
        <w:tab w:val="center" w:pos="4320"/>
        <w:tab w:val="right" w:pos="8640"/>
      </w:tabs>
    </w:pPr>
  </w:style>
  <w:style w:type="paragraph" w:styleId="Footer">
    <w:name w:val="footer"/>
    <w:basedOn w:val="Normal"/>
    <w:rsid w:val="003C3B9C"/>
    <w:pPr>
      <w:tabs>
        <w:tab w:val="center" w:pos="4320"/>
        <w:tab w:val="right" w:pos="8640"/>
      </w:tabs>
    </w:pPr>
  </w:style>
  <w:style w:type="paragraph" w:customStyle="1" w:styleId="tocsubhd">
    <w:name w:val="tocsubhd"/>
    <w:rsid w:val="005439A7"/>
    <w:pPr>
      <w:widowControl w:val="0"/>
      <w:tabs>
        <w:tab w:val="right" w:pos="6600"/>
      </w:tabs>
      <w:spacing w:before="120" w:line="280" w:lineRule="exact"/>
      <w:jc w:val="both"/>
    </w:pPr>
    <w:rPr>
      <w:rFonts w:ascii="Arial" w:hAnsi="Arial"/>
      <w:b/>
      <w:sz w:val="24"/>
    </w:rPr>
  </w:style>
  <w:style w:type="paragraph" w:customStyle="1" w:styleId="tocbc">
    <w:name w:val="tocbc"/>
    <w:rsid w:val="005439A7"/>
    <w:pPr>
      <w:widowControl w:val="0"/>
      <w:tabs>
        <w:tab w:val="right" w:pos="6600"/>
      </w:tabs>
      <w:jc w:val="both"/>
    </w:pPr>
    <w:rPr>
      <w:rFonts w:ascii="ar" w:hAnsi="ar"/>
    </w:rPr>
  </w:style>
  <w:style w:type="paragraph" w:styleId="BalloonText">
    <w:name w:val="Balloon Text"/>
    <w:basedOn w:val="Normal"/>
    <w:link w:val="BalloonTextChar"/>
    <w:rsid w:val="006C4F30"/>
    <w:rPr>
      <w:rFonts w:ascii="Tahoma" w:hAnsi="Tahoma" w:cs="Tahoma"/>
      <w:szCs w:val="16"/>
    </w:rPr>
  </w:style>
  <w:style w:type="character" w:customStyle="1" w:styleId="BalloonTextChar">
    <w:name w:val="Balloon Text Char"/>
    <w:basedOn w:val="DefaultParagraphFont"/>
    <w:link w:val="BalloonText"/>
    <w:rsid w:val="006C4F30"/>
    <w:rPr>
      <w:rFonts w:ascii="Tahoma" w:hAnsi="Tahoma" w:cs="Tahoma"/>
      <w:sz w:val="16"/>
      <w:szCs w:val="16"/>
    </w:rPr>
  </w:style>
  <w:style w:type="paragraph" w:styleId="ListParagraph">
    <w:name w:val="List Paragraph"/>
    <w:basedOn w:val="Normal"/>
    <w:uiPriority w:val="34"/>
    <w:qFormat/>
    <w:rsid w:val="0083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6603">
      <w:bodyDiv w:val="1"/>
      <w:marLeft w:val="0"/>
      <w:marRight w:val="0"/>
      <w:marTop w:val="0"/>
      <w:marBottom w:val="0"/>
      <w:divBdr>
        <w:top w:val="none" w:sz="0" w:space="0" w:color="auto"/>
        <w:left w:val="none" w:sz="0" w:space="0" w:color="auto"/>
        <w:bottom w:val="none" w:sz="0" w:space="0" w:color="auto"/>
        <w:right w:val="none" w:sz="0" w:space="0" w:color="auto"/>
      </w:divBdr>
    </w:div>
    <w:div w:id="11755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8593E-9D00-41B7-932C-9DF05977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1196</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First Concept</vt:lpstr>
    </vt:vector>
  </TitlesOfParts>
  <Company>NAWS</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Concept</dc:title>
  <dc:creator>fatia Birault</dc:creator>
  <cp:lastModifiedBy>Nick Elson</cp:lastModifiedBy>
  <cp:revision>4</cp:revision>
  <cp:lastPrinted>2005-05-27T00:02:00Z</cp:lastPrinted>
  <dcterms:created xsi:type="dcterms:W3CDTF">2014-12-30T22:52:00Z</dcterms:created>
  <dcterms:modified xsi:type="dcterms:W3CDTF">2014-12-31T00:09:00Z</dcterms:modified>
</cp:coreProperties>
</file>